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0D" w:rsidRDefault="00783A0A">
      <w:pPr>
        <w:pStyle w:val="1"/>
        <w:tabs>
          <w:tab w:val="right" w:leader="dot" w:pos="8958"/>
        </w:tabs>
        <w:jc w:val="center"/>
        <w:rPr>
          <w:rFonts w:ascii="Times New Roman" w:eastAsia="华文中宋" w:hAnsi="Times New Roman" w:hint="default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中国科学院</w:t>
      </w:r>
      <w:r>
        <w:rPr>
          <w:rFonts w:ascii="Times New Roman" w:eastAsia="华文中宋" w:hAnsi="Times New Roman"/>
          <w:b/>
          <w:sz w:val="36"/>
          <w:szCs w:val="36"/>
        </w:rPr>
        <w:t>2017</w:t>
      </w:r>
      <w:r>
        <w:rPr>
          <w:rFonts w:ascii="Times New Roman" w:eastAsia="华文中宋" w:hAnsi="Times New Roman"/>
          <w:b/>
          <w:sz w:val="36"/>
          <w:szCs w:val="36"/>
        </w:rPr>
        <w:t>年度科技服务网络计划项目</w:t>
      </w:r>
    </w:p>
    <w:p w:rsidR="009A230D" w:rsidRDefault="00783A0A">
      <w:pPr>
        <w:pStyle w:val="1"/>
        <w:tabs>
          <w:tab w:val="right" w:leader="dot" w:pos="8958"/>
        </w:tabs>
        <w:jc w:val="center"/>
        <w:rPr>
          <w:rFonts w:ascii="Times New Roman" w:eastAsia="华文中宋" w:hAnsi="Times New Roman" w:hint="default"/>
          <w:b/>
          <w:sz w:val="36"/>
          <w:szCs w:val="36"/>
        </w:rPr>
      </w:pPr>
      <w:r>
        <w:rPr>
          <w:rFonts w:ascii="Times New Roman" w:eastAsia="华文中宋" w:hAnsi="Times New Roman"/>
          <w:b/>
          <w:sz w:val="36"/>
          <w:szCs w:val="36"/>
        </w:rPr>
        <w:t>重点方向</w:t>
      </w:r>
    </w:p>
    <w:p w:rsidR="009A230D" w:rsidRDefault="009A230D">
      <w:pPr>
        <w:jc w:val="center"/>
        <w:rPr>
          <w:rFonts w:ascii="楷体_GB2312" w:eastAsia="楷体_GB2312" w:hAnsi="楷体_GB2312" w:cs="楷体_GB2312" w:hint="default"/>
          <w:color w:val="FF0000"/>
          <w:sz w:val="36"/>
          <w:szCs w:val="28"/>
        </w:rPr>
      </w:pPr>
    </w:p>
    <w:p w:rsidR="009A230D" w:rsidRDefault="00783A0A">
      <w:pPr>
        <w:widowControl/>
        <w:spacing w:beforeLines="100" w:before="312" w:afterLines="50" w:after="156" w:line="500" w:lineRule="exact"/>
        <w:ind w:firstLineChars="200" w:firstLine="562"/>
        <w:rPr>
          <w:rFonts w:ascii="黑体" w:eastAsia="黑体" w:hAnsi="黑体" w:cstheme="minorBidi" w:hint="default"/>
          <w:b/>
          <w:sz w:val="28"/>
          <w:szCs w:val="28"/>
        </w:rPr>
      </w:pPr>
      <w:r>
        <w:rPr>
          <w:rFonts w:ascii="黑体" w:eastAsia="黑体" w:hAnsi="黑体" w:cstheme="minorBidi"/>
          <w:b/>
          <w:sz w:val="28"/>
          <w:szCs w:val="28"/>
        </w:rPr>
        <w:t>一、农业领域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1.</w:t>
      </w:r>
      <w:r>
        <w:rPr>
          <w:rFonts w:ascii="Times New Roman" w:eastAsia="仿宋_GB2312" w:hAnsi="Times New Roman" w:cstheme="minorBidi"/>
          <w:b/>
          <w:sz w:val="28"/>
          <w:szCs w:val="28"/>
        </w:rPr>
        <w:t>农业转型发展模式与示范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生态草牧业发展模式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大型农场</w:t>
      </w:r>
      <w:r>
        <w:rPr>
          <w:rFonts w:ascii="Times New Roman" w:eastAsia="仿宋_GB2312" w:hAnsi="Times New Roman" w:cstheme="minorBidi"/>
          <w:sz w:val="28"/>
          <w:szCs w:val="28"/>
        </w:rPr>
        <w:t>可持续集约农业技术</w:t>
      </w:r>
      <w:r>
        <w:rPr>
          <w:rFonts w:ascii="Times New Roman" w:eastAsia="仿宋_GB2312" w:hAnsi="Times New Roman" w:cstheme="minorBidi"/>
          <w:sz w:val="28"/>
          <w:szCs w:val="28"/>
        </w:rPr>
        <w:t>发展</w:t>
      </w:r>
      <w:r>
        <w:rPr>
          <w:rFonts w:ascii="Times New Roman" w:eastAsia="仿宋_GB2312" w:hAnsi="Times New Roman" w:cstheme="minorBidi"/>
          <w:sz w:val="28"/>
          <w:szCs w:val="28"/>
        </w:rPr>
        <w:t>平台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）农场产业度量指标与区域农业产业发展表征系统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4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海洋与淡水渔业发展模式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2</w:t>
      </w:r>
      <w:r>
        <w:rPr>
          <w:rFonts w:ascii="Times New Roman" w:eastAsia="仿宋_GB2312" w:hAnsi="Times New Roman" w:cstheme="minorBidi"/>
          <w:b/>
          <w:sz w:val="28"/>
          <w:szCs w:val="28"/>
        </w:rPr>
        <w:t>.</w:t>
      </w:r>
      <w:r>
        <w:rPr>
          <w:rFonts w:ascii="Times New Roman" w:eastAsia="仿宋_GB2312" w:hAnsi="Times New Roman" w:cstheme="minorBidi"/>
          <w:b/>
          <w:sz w:val="28"/>
          <w:szCs w:val="28"/>
        </w:rPr>
        <w:t>种质资源创新与自然资源要素高效利用共性技术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种质资源创新与新品种培育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西部典型县域特色农业产业培育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农业自然要素高效</w:t>
      </w:r>
      <w:r>
        <w:rPr>
          <w:rFonts w:ascii="Times New Roman" w:eastAsia="仿宋_GB2312" w:hAnsi="Times New Roman" w:cstheme="minorBidi"/>
          <w:sz w:val="28"/>
          <w:szCs w:val="28"/>
        </w:rPr>
        <w:t>投入</w:t>
      </w:r>
      <w:r>
        <w:rPr>
          <w:rFonts w:ascii="Times New Roman" w:eastAsia="仿宋_GB2312" w:hAnsi="Times New Roman" w:cstheme="minorBidi"/>
          <w:sz w:val="28"/>
          <w:szCs w:val="28"/>
        </w:rPr>
        <w:t>利用共性技术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3</w:t>
      </w:r>
      <w:r>
        <w:rPr>
          <w:rFonts w:ascii="Times New Roman" w:eastAsia="仿宋_GB2312" w:hAnsi="Times New Roman" w:cstheme="minorBidi"/>
          <w:b/>
          <w:sz w:val="28"/>
          <w:szCs w:val="28"/>
        </w:rPr>
        <w:t>.</w:t>
      </w:r>
      <w:r>
        <w:rPr>
          <w:rFonts w:ascii="Times New Roman" w:eastAsia="仿宋_GB2312" w:hAnsi="Times New Roman" w:cstheme="minorBidi"/>
          <w:b/>
          <w:sz w:val="28"/>
          <w:szCs w:val="28"/>
        </w:rPr>
        <w:t>设施农业</w:t>
      </w:r>
      <w:r>
        <w:rPr>
          <w:rFonts w:ascii="Times New Roman" w:eastAsia="仿宋_GB2312" w:hAnsi="Times New Roman" w:cstheme="minorBidi"/>
          <w:b/>
          <w:sz w:val="28"/>
          <w:szCs w:val="28"/>
        </w:rPr>
        <w:t>技术</w:t>
      </w:r>
      <w:r>
        <w:rPr>
          <w:rFonts w:ascii="Times New Roman" w:eastAsia="仿宋_GB2312" w:hAnsi="Times New Roman" w:cstheme="minorBidi"/>
          <w:b/>
          <w:sz w:val="28"/>
          <w:szCs w:val="28"/>
        </w:rPr>
        <w:t>与</w:t>
      </w:r>
      <w:r>
        <w:rPr>
          <w:rFonts w:ascii="Times New Roman" w:eastAsia="仿宋_GB2312" w:hAnsi="Times New Roman" w:cstheme="minorBidi"/>
          <w:b/>
          <w:sz w:val="28"/>
          <w:szCs w:val="28"/>
        </w:rPr>
        <w:t>产品研发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植物工厂</w:t>
      </w:r>
      <w:r>
        <w:rPr>
          <w:rFonts w:ascii="Times New Roman" w:eastAsia="仿宋_GB2312" w:hAnsi="Times New Roman" w:cstheme="minorBidi"/>
          <w:sz w:val="28"/>
          <w:szCs w:val="28"/>
        </w:rPr>
        <w:t>集成技术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营养品质</w:t>
      </w:r>
      <w:r>
        <w:rPr>
          <w:rFonts w:ascii="Times New Roman" w:eastAsia="仿宋_GB2312" w:hAnsi="Times New Roman" w:cstheme="minorBidi"/>
          <w:sz w:val="28"/>
          <w:szCs w:val="28"/>
        </w:rPr>
        <w:t>提升</w:t>
      </w:r>
      <w:r>
        <w:rPr>
          <w:rFonts w:ascii="Times New Roman" w:eastAsia="仿宋_GB2312" w:hAnsi="Times New Roman" w:cstheme="minorBidi"/>
          <w:sz w:val="28"/>
          <w:szCs w:val="28"/>
        </w:rPr>
        <w:t>与采后处理加工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新型肥</w:t>
      </w:r>
      <w:r>
        <w:rPr>
          <w:rFonts w:ascii="Times New Roman" w:eastAsia="仿宋_GB2312" w:hAnsi="Times New Roman" w:cstheme="minorBidi"/>
          <w:sz w:val="28"/>
          <w:szCs w:val="28"/>
        </w:rPr>
        <w:t>药</w:t>
      </w:r>
      <w:r>
        <w:rPr>
          <w:rFonts w:ascii="Times New Roman" w:eastAsia="仿宋_GB2312" w:hAnsi="Times New Roman" w:cstheme="minorBidi"/>
          <w:sz w:val="28"/>
          <w:szCs w:val="28"/>
        </w:rPr>
        <w:t>与病虫害</w:t>
      </w:r>
      <w:r>
        <w:rPr>
          <w:rFonts w:ascii="Times New Roman" w:eastAsia="仿宋_GB2312" w:hAnsi="Times New Roman" w:cstheme="minorBidi"/>
          <w:sz w:val="28"/>
          <w:szCs w:val="28"/>
        </w:rPr>
        <w:t>防控技术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4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农业大数据</w:t>
      </w:r>
      <w:r>
        <w:rPr>
          <w:rFonts w:ascii="Times New Roman" w:eastAsia="仿宋_GB2312" w:hAnsi="Times New Roman" w:cstheme="minorBidi"/>
          <w:sz w:val="28"/>
          <w:szCs w:val="28"/>
        </w:rPr>
        <w:t>分析</w:t>
      </w:r>
      <w:r>
        <w:rPr>
          <w:rFonts w:ascii="Times New Roman" w:eastAsia="仿宋_GB2312" w:hAnsi="Times New Roman" w:cstheme="minorBidi"/>
          <w:sz w:val="28"/>
          <w:szCs w:val="28"/>
        </w:rPr>
        <w:t>与物联网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4</w:t>
      </w:r>
      <w:r>
        <w:rPr>
          <w:rFonts w:ascii="Times New Roman" w:eastAsia="仿宋_GB2312" w:hAnsi="Times New Roman" w:cstheme="minorBidi"/>
          <w:b/>
          <w:sz w:val="28"/>
          <w:szCs w:val="28"/>
        </w:rPr>
        <w:t>.</w:t>
      </w:r>
      <w:r>
        <w:rPr>
          <w:rFonts w:ascii="Times New Roman" w:eastAsia="仿宋_GB2312" w:hAnsi="Times New Roman" w:cstheme="minorBidi"/>
          <w:b/>
          <w:sz w:val="28"/>
          <w:szCs w:val="28"/>
        </w:rPr>
        <w:t>农林资源合理</w:t>
      </w:r>
      <w:r>
        <w:rPr>
          <w:rFonts w:ascii="Times New Roman" w:eastAsia="仿宋_GB2312" w:hAnsi="Times New Roman" w:cstheme="minorBidi"/>
          <w:b/>
          <w:sz w:val="28"/>
          <w:szCs w:val="28"/>
        </w:rPr>
        <w:t>化</w:t>
      </w:r>
      <w:r>
        <w:rPr>
          <w:rFonts w:ascii="Times New Roman" w:eastAsia="仿宋_GB2312" w:hAnsi="Times New Roman" w:cstheme="minorBidi"/>
          <w:b/>
          <w:sz w:val="28"/>
          <w:szCs w:val="28"/>
        </w:rPr>
        <w:t>利用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农林废弃物资源化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林业资源管理</w:t>
      </w:r>
      <w:r>
        <w:rPr>
          <w:rFonts w:ascii="Times New Roman" w:eastAsia="仿宋_GB2312" w:hAnsi="Times New Roman" w:cstheme="minorBidi"/>
          <w:sz w:val="28"/>
          <w:szCs w:val="28"/>
        </w:rPr>
        <w:t>与有效利用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5</w:t>
      </w:r>
      <w:r>
        <w:rPr>
          <w:rFonts w:ascii="Times New Roman" w:eastAsia="仿宋_GB2312" w:hAnsi="Times New Roman" w:cstheme="minorBidi"/>
          <w:b/>
          <w:sz w:val="28"/>
          <w:szCs w:val="28"/>
        </w:rPr>
        <w:t>.</w:t>
      </w:r>
      <w:r>
        <w:rPr>
          <w:rFonts w:ascii="Times New Roman" w:eastAsia="仿宋_GB2312" w:hAnsi="Times New Roman" w:cstheme="minorBidi"/>
          <w:b/>
          <w:sz w:val="28"/>
          <w:szCs w:val="28"/>
        </w:rPr>
        <w:t>农业</w:t>
      </w:r>
      <w:r>
        <w:rPr>
          <w:rFonts w:ascii="Times New Roman" w:eastAsia="仿宋_GB2312" w:hAnsi="Times New Roman" w:cstheme="minorBidi"/>
          <w:b/>
          <w:sz w:val="28"/>
          <w:szCs w:val="28"/>
        </w:rPr>
        <w:t>科技海外拓展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6</w:t>
      </w:r>
      <w:r>
        <w:rPr>
          <w:rFonts w:ascii="Times New Roman" w:eastAsia="仿宋_GB2312" w:hAnsi="Times New Roman" w:cstheme="minorBidi"/>
          <w:b/>
          <w:sz w:val="28"/>
          <w:szCs w:val="28"/>
        </w:rPr>
        <w:t>.</w:t>
      </w:r>
      <w:r>
        <w:rPr>
          <w:rFonts w:ascii="Times New Roman" w:eastAsia="仿宋_GB2312" w:hAnsi="Times New Roman" w:cstheme="minorBidi"/>
          <w:b/>
          <w:sz w:val="28"/>
          <w:szCs w:val="28"/>
        </w:rPr>
        <w:t>农业政策与发展策略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中国农业转型发展</w:t>
      </w:r>
      <w:r>
        <w:rPr>
          <w:rFonts w:ascii="Times New Roman" w:eastAsia="仿宋_GB2312" w:hAnsi="Times New Roman" w:cstheme="minorBidi"/>
          <w:sz w:val="28"/>
          <w:szCs w:val="28"/>
        </w:rPr>
        <w:t>制度设计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区域农业发展的水土资源匹配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粮棉油</w:t>
      </w:r>
      <w:r>
        <w:rPr>
          <w:rFonts w:ascii="Times New Roman" w:eastAsia="仿宋_GB2312" w:hAnsi="Times New Roman" w:cstheme="minorBidi"/>
          <w:sz w:val="28"/>
          <w:szCs w:val="28"/>
        </w:rPr>
        <w:t>等</w:t>
      </w:r>
      <w:r>
        <w:rPr>
          <w:rFonts w:ascii="Times New Roman" w:eastAsia="仿宋_GB2312" w:hAnsi="Times New Roman" w:cstheme="minorBidi"/>
          <w:sz w:val="28"/>
          <w:szCs w:val="28"/>
        </w:rPr>
        <w:t>产量高精度预测</w:t>
      </w:r>
    </w:p>
    <w:p w:rsidR="009A230D" w:rsidRDefault="00783A0A">
      <w:pPr>
        <w:widowControl/>
        <w:spacing w:beforeLines="100" w:before="312" w:afterLines="50" w:after="156" w:line="500" w:lineRule="exact"/>
        <w:ind w:firstLineChars="200" w:firstLine="562"/>
        <w:rPr>
          <w:rFonts w:ascii="黑体" w:eastAsia="黑体" w:hAnsi="黑体" w:cstheme="minorBidi" w:hint="default"/>
          <w:b/>
          <w:sz w:val="28"/>
          <w:szCs w:val="28"/>
        </w:rPr>
      </w:pPr>
      <w:r>
        <w:rPr>
          <w:rFonts w:ascii="黑体" w:eastAsia="黑体" w:hAnsi="黑体" w:cstheme="minorBidi"/>
          <w:b/>
          <w:sz w:val="28"/>
          <w:szCs w:val="28"/>
        </w:rPr>
        <w:lastRenderedPageBreak/>
        <w:t>二、健康与生物领域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1.</w:t>
      </w:r>
      <w:r>
        <w:rPr>
          <w:rFonts w:ascii="Times New Roman" w:eastAsia="仿宋_GB2312" w:hAnsi="Times New Roman" w:cstheme="minorBidi"/>
          <w:b/>
          <w:sz w:val="28"/>
          <w:szCs w:val="28"/>
        </w:rPr>
        <w:t>新型医疗器械与产品的研发和应用示范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）新型医疗器械安全与性能检测评价平台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）新型体外诊断产品研发与应用示范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）新型高生物相容性医用材料的研制和产业化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2.</w:t>
      </w:r>
      <w:r>
        <w:rPr>
          <w:rFonts w:ascii="Times New Roman" w:eastAsia="仿宋_GB2312" w:hAnsi="Times New Roman" w:cstheme="minorBidi"/>
          <w:b/>
          <w:sz w:val="28"/>
          <w:szCs w:val="28"/>
        </w:rPr>
        <w:t>城镇人群健康保障技术及应用示范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）心理健康服务平台建设及应用示范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）老龄健康共性适宜技术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bCs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bCs/>
          <w:sz w:val="28"/>
          <w:szCs w:val="28"/>
        </w:rPr>
        <w:t>食品安全检测评价新技术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bCs/>
          <w:sz w:val="28"/>
          <w:szCs w:val="28"/>
        </w:rPr>
      </w:pPr>
      <w:r>
        <w:rPr>
          <w:rFonts w:ascii="Times New Roman" w:eastAsia="仿宋_GB2312" w:hAnsi="Times New Roman" w:cstheme="minorBidi"/>
          <w:bCs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bCs/>
          <w:sz w:val="28"/>
          <w:szCs w:val="28"/>
        </w:rPr>
        <w:t>4</w:t>
      </w:r>
      <w:r>
        <w:rPr>
          <w:rFonts w:ascii="Times New Roman" w:eastAsia="仿宋_GB2312" w:hAnsi="Times New Roman" w:cstheme="minorBidi"/>
          <w:bCs/>
          <w:sz w:val="28"/>
          <w:szCs w:val="28"/>
        </w:rPr>
        <w:t>）营养功能性食品制造关键技术研究与新产品创制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sz w:val="28"/>
          <w:szCs w:val="28"/>
        </w:rPr>
      </w:pPr>
      <w:r>
        <w:rPr>
          <w:rFonts w:ascii="Times New Roman" w:eastAsia="仿宋_GB2312" w:hAnsi="Times New Roman" w:cstheme="minorBidi"/>
          <w:b/>
          <w:sz w:val="28"/>
          <w:szCs w:val="28"/>
        </w:rPr>
        <w:t>3.</w:t>
      </w:r>
      <w:r>
        <w:rPr>
          <w:rFonts w:ascii="Times New Roman" w:eastAsia="仿宋_GB2312" w:hAnsi="Times New Roman" w:cstheme="minorBidi"/>
          <w:b/>
          <w:sz w:val="28"/>
          <w:szCs w:val="28"/>
        </w:rPr>
        <w:t>先进生物制造技术在工业生产中的集成应用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）基于先进生物制造技术的新产品和新工艺的开发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color w:val="FF0000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）生物分离关键技术及应用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）生物基材料在农膜等重点领域的应用示范及标准制定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4</w:t>
      </w:r>
      <w:r>
        <w:rPr>
          <w:rFonts w:ascii="Times New Roman" w:eastAsia="仿宋_GB2312" w:hAnsi="Times New Roman" w:cstheme="minorBidi"/>
          <w:sz w:val="28"/>
          <w:szCs w:val="28"/>
        </w:rPr>
        <w:t>）构建非粮生物质原料技术平台</w:t>
      </w:r>
    </w:p>
    <w:p w:rsidR="009A230D" w:rsidRDefault="00783A0A">
      <w:pPr>
        <w:widowControl/>
        <w:spacing w:beforeLines="100" w:before="312" w:afterLines="50" w:after="156" w:line="500" w:lineRule="exact"/>
        <w:ind w:firstLineChars="200" w:firstLine="562"/>
        <w:rPr>
          <w:rFonts w:ascii="黑体" w:eastAsia="黑体" w:hAnsi="黑体" w:cstheme="minorBidi" w:hint="default"/>
          <w:b/>
          <w:sz w:val="28"/>
          <w:szCs w:val="28"/>
        </w:rPr>
      </w:pPr>
      <w:r>
        <w:rPr>
          <w:rFonts w:ascii="黑体" w:eastAsia="黑体" w:hAnsi="黑体" w:cstheme="minorBidi"/>
          <w:b/>
          <w:sz w:val="28"/>
          <w:szCs w:val="28"/>
        </w:rPr>
        <w:t>三、资源与环境领域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重点区域生态评估与监测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长江经济带岸线资源调查与湿地生态评估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我国近海海洋环境监测评估与生态恢复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京津风沙源治理</w:t>
      </w:r>
      <w:r>
        <w:rPr>
          <w:rFonts w:ascii="Times New Roman" w:eastAsia="仿宋_GB2312" w:hAnsi="Times New Roman" w:cstheme="minorBidi"/>
          <w:sz w:val="28"/>
          <w:szCs w:val="28"/>
        </w:rPr>
        <w:t>工程遥感评估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2.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生态系统网络相关研究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生物多样性与生态服务功能关系研究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生态系统研究网络新型监测设备研制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3.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环境污染治理新技术研究与示范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农田土壤污染治理新材料新技术研究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）石油</w:t>
      </w:r>
      <w:r>
        <w:rPr>
          <w:rFonts w:ascii="Times New Roman" w:eastAsia="仿宋_GB2312" w:hAnsi="Times New Roman" w:cstheme="minorBidi"/>
          <w:sz w:val="28"/>
          <w:szCs w:val="28"/>
        </w:rPr>
        <w:t>场地污染修复技术设备研发示范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南方面源污染治理模式集成示范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4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室内空气高效净化材料及器件研发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5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流域环境抗生素污染控制策略与技术研究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4.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清洁环境资源化利用技术研究与示范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废旧动力</w:t>
      </w:r>
      <w:bookmarkStart w:id="0" w:name="_GoBack"/>
      <w:bookmarkEnd w:id="0"/>
      <w:r>
        <w:rPr>
          <w:rFonts w:ascii="Times New Roman" w:eastAsia="仿宋_GB2312" w:hAnsi="Times New Roman" w:cstheme="minorBidi"/>
          <w:sz w:val="28"/>
          <w:szCs w:val="28"/>
        </w:rPr>
        <w:t>电池资源化利用技术研发与示范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）农业废弃物</w:t>
      </w:r>
      <w:r>
        <w:rPr>
          <w:rFonts w:ascii="Times New Roman" w:eastAsia="仿宋_GB2312" w:hAnsi="Times New Roman"/>
          <w:sz w:val="28"/>
          <w:szCs w:val="28"/>
        </w:rPr>
        <w:t>资源化利用技术研发与示范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环境修复生物资源化利用技术研究与示范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5.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区域发展战略咨询与自然资源清查报告研究</w:t>
      </w:r>
    </w:p>
    <w:p w:rsidR="009A230D" w:rsidRDefault="00783A0A">
      <w:pPr>
        <w:widowControl/>
        <w:spacing w:beforeLines="100" w:before="312" w:afterLines="50" w:after="156" w:line="500" w:lineRule="exact"/>
        <w:ind w:firstLineChars="200" w:firstLine="562"/>
        <w:rPr>
          <w:rFonts w:ascii="黑体" w:eastAsia="黑体" w:hAnsi="黑体" w:cstheme="minorBidi" w:hint="default"/>
          <w:b/>
          <w:sz w:val="28"/>
          <w:szCs w:val="28"/>
        </w:rPr>
      </w:pPr>
      <w:r>
        <w:rPr>
          <w:rFonts w:ascii="黑体" w:eastAsia="黑体" w:hAnsi="黑体" w:cstheme="minorBidi"/>
          <w:b/>
          <w:sz w:val="28"/>
          <w:szCs w:val="28"/>
        </w:rPr>
        <w:t>四、高技术领域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1.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高端制造技术与装备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）精密激光加工核心技术、设备与应用示范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）深冷处理装备及关键技术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2.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面向重点行业的核心基础器件研发与应用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）各类新型智能传感器研制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）超高速数据转换器芯片研制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MEMS</w:t>
      </w:r>
      <w:r>
        <w:rPr>
          <w:rFonts w:ascii="Times New Roman" w:eastAsia="仿宋_GB2312" w:hAnsi="Times New Roman" w:cstheme="minorBidi"/>
          <w:sz w:val="28"/>
          <w:szCs w:val="28"/>
        </w:rPr>
        <w:t>传感器一体化公共服务平台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3.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核心基础材料及基础化学工艺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）高端装备用特殊钢清洁智能制备示范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）有色金属复杂体系高效净化精确分离技术工业应用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CVD</w:t>
      </w:r>
      <w:r>
        <w:rPr>
          <w:rFonts w:ascii="Times New Roman" w:eastAsia="仿宋_GB2312" w:hAnsi="Times New Roman" w:cstheme="minorBidi"/>
          <w:sz w:val="28"/>
          <w:szCs w:val="28"/>
        </w:rPr>
        <w:t>大单晶金刚石及其超精密加工工具产业化示范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hint="default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（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4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）煤制烯烃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/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芳烃等煤炭清洁高效转化新技术及其应用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" w:hAnsi="仿宋" w:hint="default"/>
          <w:sz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5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" w:hAnsi="仿宋"/>
          <w:sz w:val="28"/>
        </w:rPr>
        <w:t>溢油应急关键材料与装备示范系统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6</w:t>
      </w:r>
      <w:r>
        <w:rPr>
          <w:rFonts w:ascii="Times New Roman" w:eastAsia="仿宋_GB2312" w:hAnsi="Times New Roman" w:cstheme="minorBidi"/>
          <w:sz w:val="28"/>
          <w:szCs w:val="28"/>
        </w:rPr>
        <w:t>）正丁烷选择氧化制顺酐新型催化剂开发及产业化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7</w:t>
      </w:r>
      <w:r>
        <w:rPr>
          <w:rFonts w:ascii="Times New Roman" w:eastAsia="仿宋_GB2312" w:hAnsi="Times New Roman" w:cstheme="minorBidi"/>
          <w:sz w:val="28"/>
          <w:szCs w:val="28"/>
        </w:rPr>
        <w:t>）无定形聚芳醚酮系列产品的产业化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4.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基于可再生能源的多能互补微能源网示范应用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1</w:t>
      </w:r>
      <w:r>
        <w:rPr>
          <w:rFonts w:ascii="Times New Roman" w:eastAsia="仿宋_GB2312" w:hAnsi="Times New Roman" w:cstheme="minorBidi"/>
          <w:sz w:val="28"/>
          <w:szCs w:val="28"/>
        </w:rPr>
        <w:t>）海岛、工业园区等</w:t>
      </w:r>
      <w:r>
        <w:rPr>
          <w:rFonts w:ascii="Times New Roman" w:eastAsia="仿宋_GB2312" w:hAnsi="Times New Roman" w:cstheme="minorBidi"/>
          <w:sz w:val="28"/>
          <w:szCs w:val="28"/>
        </w:rPr>
        <w:t>MW</w:t>
      </w:r>
      <w:r>
        <w:rPr>
          <w:rFonts w:ascii="Times New Roman" w:eastAsia="仿宋_GB2312" w:hAnsi="Times New Roman" w:cstheme="minorBidi"/>
          <w:sz w:val="28"/>
          <w:szCs w:val="28"/>
        </w:rPr>
        <w:t>级区域微能源系统示范应用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lastRenderedPageBreak/>
        <w:t>（</w:t>
      </w:r>
      <w:r>
        <w:rPr>
          <w:rFonts w:ascii="Times New Roman" w:eastAsia="仿宋_GB2312" w:hAnsi="Times New Roman" w:cstheme="minorBidi"/>
          <w:sz w:val="28"/>
          <w:szCs w:val="28"/>
        </w:rPr>
        <w:t>2</w:t>
      </w:r>
      <w:r>
        <w:rPr>
          <w:rFonts w:ascii="Times New Roman" w:eastAsia="仿宋_GB2312" w:hAnsi="Times New Roman" w:cstheme="minorBidi"/>
          <w:sz w:val="28"/>
          <w:szCs w:val="28"/>
        </w:rPr>
        <w:t>）</w:t>
      </w:r>
      <w:r>
        <w:rPr>
          <w:rFonts w:ascii="Times New Roman" w:eastAsia="仿宋_GB2312" w:hAnsi="Times New Roman" w:cstheme="minorBidi"/>
          <w:sz w:val="28"/>
          <w:szCs w:val="28"/>
        </w:rPr>
        <w:t>西部</w:t>
      </w:r>
      <w:r>
        <w:rPr>
          <w:rFonts w:ascii="Times New Roman" w:eastAsia="仿宋_GB2312" w:hAnsi="Times New Roman" w:cstheme="minorBidi"/>
          <w:sz w:val="28"/>
          <w:szCs w:val="28"/>
        </w:rPr>
        <w:t>偏远农村</w:t>
      </w:r>
      <w:r>
        <w:rPr>
          <w:rFonts w:ascii="Times New Roman" w:eastAsia="仿宋_GB2312" w:hAnsi="Times New Roman" w:cstheme="minorBidi"/>
          <w:sz w:val="28"/>
          <w:szCs w:val="28"/>
        </w:rPr>
        <w:t>光伏</w:t>
      </w:r>
      <w:r>
        <w:rPr>
          <w:rFonts w:ascii="Times New Roman" w:eastAsia="仿宋_GB2312" w:hAnsi="Times New Roman" w:cstheme="minorBidi"/>
          <w:sz w:val="28"/>
          <w:szCs w:val="28"/>
        </w:rPr>
        <w:t>及其它多能互补微能源系统示范应用</w:t>
      </w:r>
    </w:p>
    <w:p w:rsidR="009A230D" w:rsidRDefault="00783A0A">
      <w:pPr>
        <w:widowControl/>
        <w:spacing w:line="500" w:lineRule="exact"/>
        <w:ind w:firstLineChars="200" w:firstLine="560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sz w:val="28"/>
          <w:szCs w:val="28"/>
        </w:rPr>
        <w:t>（</w:t>
      </w:r>
      <w:r>
        <w:rPr>
          <w:rFonts w:ascii="Times New Roman" w:eastAsia="仿宋_GB2312" w:hAnsi="Times New Roman" w:cstheme="minorBidi"/>
          <w:sz w:val="28"/>
          <w:szCs w:val="28"/>
        </w:rPr>
        <w:t>3</w:t>
      </w:r>
      <w:r>
        <w:rPr>
          <w:rFonts w:ascii="Times New Roman" w:eastAsia="仿宋_GB2312" w:hAnsi="Times New Roman" w:cstheme="minorBidi"/>
          <w:sz w:val="28"/>
          <w:szCs w:val="28"/>
        </w:rPr>
        <w:t>）高寒高海拔气候区多能互补及太阳能集中供暖示范应用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Times New Roman" w:eastAsia="仿宋_GB2312" w:hAnsi="Times New Roman" w:cstheme="minorBidi" w:hint="default"/>
          <w:b/>
          <w:bCs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5.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新型化学电源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系统及相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关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新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材料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的研发与示范推广</w:t>
      </w:r>
    </w:p>
    <w:p w:rsidR="009A230D" w:rsidRDefault="00783A0A">
      <w:pPr>
        <w:pStyle w:val="a5"/>
        <w:widowControl/>
        <w:spacing w:line="500" w:lineRule="exact"/>
        <w:ind w:firstLine="562"/>
        <w:rPr>
          <w:rFonts w:ascii="Times New Roman" w:eastAsia="仿宋_GB2312" w:hAnsi="Times New Roman" w:cstheme="minorBidi" w:hint="default"/>
          <w:sz w:val="28"/>
          <w:szCs w:val="28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6.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非常规天然气液化装备与产业化</w:t>
      </w:r>
    </w:p>
    <w:p w:rsidR="009A230D" w:rsidRDefault="00783A0A">
      <w:pPr>
        <w:widowControl/>
        <w:spacing w:line="500" w:lineRule="exact"/>
        <w:ind w:firstLineChars="200" w:firstLine="562"/>
        <w:rPr>
          <w:rFonts w:ascii="宋体" w:hAnsi="宋体" w:cs="宋体" w:hint="default"/>
          <w:kern w:val="0"/>
          <w:sz w:val="24"/>
          <w:szCs w:val="24"/>
        </w:rPr>
      </w:pP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7.</w:t>
      </w:r>
      <w:r>
        <w:rPr>
          <w:rFonts w:ascii="Times New Roman" w:eastAsia="仿宋_GB2312" w:hAnsi="Times New Roman" w:cstheme="minorBidi"/>
          <w:b/>
          <w:bCs/>
          <w:sz w:val="28"/>
          <w:szCs w:val="28"/>
        </w:rPr>
        <w:t>低成本节能系列冷链装备研制与示范</w:t>
      </w:r>
    </w:p>
    <w:sectPr w:rsidR="009A2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4E2C7324"/>
    <w:lvl w:ilvl="0" w:tplc="136ED67E">
      <w:start w:val="7"/>
      <w:numFmt w:val="decimal"/>
      <w:lvlText w:val="%1、"/>
      <w:lvlJc w:val="left"/>
      <w:pPr>
        <w:ind w:left="1006" w:hanging="444"/>
      </w:pPr>
      <w:rPr>
        <w:rFonts w:ascii="Times New Roman" w:eastAsia="仿宋_GB2312" w:hAnsi="Times New Roman" w:cstheme="minorBidi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00000001"/>
    <w:multiLevelType w:val="hybridMultilevel"/>
    <w:tmpl w:val="B61A8F24"/>
    <w:lvl w:ilvl="0" w:tplc="BBF0A0D6">
      <w:start w:val="5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00000002"/>
    <w:multiLevelType w:val="hybridMultilevel"/>
    <w:tmpl w:val="1A00CE42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B44CDD0"/>
    <w:lvl w:ilvl="0" w:tplc="008EA266">
      <w:start w:val="5"/>
      <w:numFmt w:val="decimal"/>
      <w:lvlText w:val="%1"/>
      <w:lvlJc w:val="left"/>
      <w:pPr>
        <w:ind w:left="92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00000004"/>
    <w:multiLevelType w:val="hybridMultilevel"/>
    <w:tmpl w:val="CD5CD07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00000005"/>
    <w:multiLevelType w:val="hybridMultilevel"/>
    <w:tmpl w:val="C30C1DBC"/>
    <w:lvl w:ilvl="0" w:tplc="9650F79C">
      <w:start w:val="5"/>
      <w:numFmt w:val="decimal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0D"/>
    <w:rsid w:val="00783A0A"/>
    <w:rsid w:val="009A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uiPriority w:val="99"/>
    <w:rPr>
      <w:sz w:val="21"/>
      <w:szCs w:val="21"/>
    </w:rPr>
  </w:style>
  <w:style w:type="paragraph" w:styleId="a7">
    <w:name w:val="annotation text"/>
    <w:basedOn w:val="a"/>
    <w:link w:val="Char1"/>
    <w:uiPriority w:val="99"/>
    <w:pPr>
      <w:jc w:val="left"/>
    </w:pPr>
  </w:style>
  <w:style w:type="character" w:customStyle="1" w:styleId="Char1">
    <w:name w:val="批注文字 Char"/>
    <w:basedOn w:val="a0"/>
    <w:link w:val="a7"/>
    <w:uiPriority w:val="99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rPr>
      <w:b/>
      <w:bCs/>
    </w:rPr>
  </w:style>
  <w:style w:type="character" w:customStyle="1" w:styleId="Char2">
    <w:name w:val="批注主题 Char"/>
    <w:basedOn w:val="Char1"/>
    <w:link w:val="a8"/>
    <w:uiPriority w:val="99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annotationtext">
    <w:name w:val="&quot;annotation text&quot;"/>
    <w:pPr>
      <w:widowControl w:val="0"/>
    </w:pPr>
    <w:rPr>
      <w:rFonts w:ascii="Calibri" w:eastAsia="宋体" w:hAnsi="Calibri" w:cs="Times New Roman" w:hint="eastAsia"/>
    </w:rPr>
  </w:style>
  <w:style w:type="paragraph" w:customStyle="1" w:styleId="annotationsubject">
    <w:name w:val="&quot;annotation subject&quot;"/>
    <w:basedOn w:val="annotationtext"/>
    <w:rPr>
      <w:b/>
    </w:rPr>
  </w:style>
  <w:style w:type="paragraph" w:customStyle="1" w:styleId="footer">
    <w:name w:val="&quot;footer&quot;"/>
    <w:pPr>
      <w:widowControl w:val="0"/>
      <w:tabs>
        <w:tab w:val="center" w:pos="4140"/>
        <w:tab w:val="right" w:pos="8300"/>
      </w:tabs>
      <w:snapToGrid w:val="0"/>
    </w:pPr>
    <w:rPr>
      <w:rFonts w:ascii="Calibri" w:eastAsia="宋体" w:hAnsi="Calibri" w:cs="Times New Roman" w:hint="eastAsia"/>
      <w:sz w:val="18"/>
      <w:szCs w:val="18"/>
    </w:rPr>
  </w:style>
  <w:style w:type="paragraph" w:customStyle="1" w:styleId="BalloonText">
    <w:name w:val="&quot;Balloon Text&quot;"/>
    <w:pPr>
      <w:widowControl w:val="0"/>
      <w:jc w:val="both"/>
    </w:pPr>
    <w:rPr>
      <w:rFonts w:ascii="Calibri" w:eastAsia="宋体" w:hAnsi="Calibri" w:cs="Times New Roman" w:hint="eastAsia"/>
      <w:sz w:val="18"/>
      <w:szCs w:val="18"/>
    </w:rPr>
  </w:style>
  <w:style w:type="paragraph" w:customStyle="1" w:styleId="ListParagraph">
    <w:name w:val="&quot;List Paragraph&quot;"/>
    <w:qFormat/>
    <w:pPr>
      <w:widowControl w:val="0"/>
      <w:ind w:firstLineChars="200" w:firstLine="420"/>
      <w:jc w:val="both"/>
    </w:pPr>
    <w:rPr>
      <w:rFonts w:ascii="Calibri" w:eastAsia="宋体" w:hAnsi="Calibri" w:cs="Times New Roman" w:hint="eastAsia"/>
    </w:rPr>
  </w:style>
  <w:style w:type="paragraph" w:customStyle="1" w:styleId="toc1">
    <w:name w:val="&quot;toc 1&quot;"/>
    <w:pPr>
      <w:widowControl w:val="0"/>
      <w:jc w:val="both"/>
    </w:pPr>
    <w:rPr>
      <w:rFonts w:ascii="Calibri" w:eastAsia="宋体" w:hAnsi="Calibri" w:cs="Times New Roman" w:hint="eastAsia"/>
    </w:rPr>
  </w:style>
  <w:style w:type="paragraph" w:customStyle="1" w:styleId="header">
    <w:name w:val="&quot;header&quot;"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rFonts w:ascii="Calibri" w:eastAsia="宋体" w:hAnsi="Calibri" w:cs="Times New Roman" w:hint="eastAs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 w:hint="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styleId="a6">
    <w:name w:val="annotation reference"/>
    <w:basedOn w:val="a0"/>
    <w:uiPriority w:val="99"/>
    <w:rPr>
      <w:sz w:val="21"/>
      <w:szCs w:val="21"/>
    </w:rPr>
  </w:style>
  <w:style w:type="paragraph" w:styleId="a7">
    <w:name w:val="annotation text"/>
    <w:basedOn w:val="a"/>
    <w:link w:val="Char1"/>
    <w:uiPriority w:val="99"/>
    <w:pPr>
      <w:jc w:val="left"/>
    </w:pPr>
  </w:style>
  <w:style w:type="character" w:customStyle="1" w:styleId="Char1">
    <w:name w:val="批注文字 Char"/>
    <w:basedOn w:val="a0"/>
    <w:link w:val="a7"/>
    <w:uiPriority w:val="99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rPr>
      <w:b/>
      <w:bCs/>
    </w:rPr>
  </w:style>
  <w:style w:type="character" w:customStyle="1" w:styleId="Char2">
    <w:name w:val="批注主题 Char"/>
    <w:basedOn w:val="Char1"/>
    <w:link w:val="a8"/>
    <w:uiPriority w:val="99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annotationtext">
    <w:name w:val="&quot;annotation text&quot;"/>
    <w:pPr>
      <w:widowControl w:val="0"/>
    </w:pPr>
    <w:rPr>
      <w:rFonts w:ascii="Calibri" w:eastAsia="宋体" w:hAnsi="Calibri" w:cs="Times New Roman" w:hint="eastAsia"/>
    </w:rPr>
  </w:style>
  <w:style w:type="paragraph" w:customStyle="1" w:styleId="annotationsubject">
    <w:name w:val="&quot;annotation subject&quot;"/>
    <w:basedOn w:val="annotationtext"/>
    <w:rPr>
      <w:b/>
    </w:rPr>
  </w:style>
  <w:style w:type="paragraph" w:customStyle="1" w:styleId="footer">
    <w:name w:val="&quot;footer&quot;"/>
    <w:pPr>
      <w:widowControl w:val="0"/>
      <w:tabs>
        <w:tab w:val="center" w:pos="4140"/>
        <w:tab w:val="right" w:pos="8300"/>
      </w:tabs>
      <w:snapToGrid w:val="0"/>
    </w:pPr>
    <w:rPr>
      <w:rFonts w:ascii="Calibri" w:eastAsia="宋体" w:hAnsi="Calibri" w:cs="Times New Roman" w:hint="eastAsia"/>
      <w:sz w:val="18"/>
      <w:szCs w:val="18"/>
    </w:rPr>
  </w:style>
  <w:style w:type="paragraph" w:customStyle="1" w:styleId="BalloonText">
    <w:name w:val="&quot;Balloon Text&quot;"/>
    <w:pPr>
      <w:widowControl w:val="0"/>
      <w:jc w:val="both"/>
    </w:pPr>
    <w:rPr>
      <w:rFonts w:ascii="Calibri" w:eastAsia="宋体" w:hAnsi="Calibri" w:cs="Times New Roman" w:hint="eastAsia"/>
      <w:sz w:val="18"/>
      <w:szCs w:val="18"/>
    </w:rPr>
  </w:style>
  <w:style w:type="paragraph" w:customStyle="1" w:styleId="ListParagraph">
    <w:name w:val="&quot;List Paragraph&quot;"/>
    <w:qFormat/>
    <w:pPr>
      <w:widowControl w:val="0"/>
      <w:ind w:firstLineChars="200" w:firstLine="420"/>
      <w:jc w:val="both"/>
    </w:pPr>
    <w:rPr>
      <w:rFonts w:ascii="Calibri" w:eastAsia="宋体" w:hAnsi="Calibri" w:cs="Times New Roman" w:hint="eastAsia"/>
    </w:rPr>
  </w:style>
  <w:style w:type="paragraph" w:customStyle="1" w:styleId="toc1">
    <w:name w:val="&quot;toc 1&quot;"/>
    <w:pPr>
      <w:widowControl w:val="0"/>
      <w:jc w:val="both"/>
    </w:pPr>
    <w:rPr>
      <w:rFonts w:ascii="Calibri" w:eastAsia="宋体" w:hAnsi="Calibri" w:cs="Times New Roman" w:hint="eastAsia"/>
    </w:rPr>
  </w:style>
  <w:style w:type="paragraph" w:customStyle="1" w:styleId="header">
    <w:name w:val="&quot;header&quot;"/>
    <w:pPr>
      <w:widowControl w:val="0"/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rFonts w:ascii="Calibri" w:eastAsia="宋体" w:hAnsi="Calibri" w:cs="Times New Roman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</Words>
  <Characters>1283</Characters>
  <Application>Microsoft Office Word</Application>
  <DocSecurity>0</DocSecurity>
  <Lines>10</Lines>
  <Paragraphs>3</Paragraphs>
  <ScaleCrop>false</ScaleCrop>
  <Company>BIO.CAS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陈浩</dc:creator>
  <cp:lastModifiedBy>unknown</cp:lastModifiedBy>
  <cp:revision>2</cp:revision>
  <dcterms:created xsi:type="dcterms:W3CDTF">2016-06-22T04:40:00Z</dcterms:created>
  <dcterms:modified xsi:type="dcterms:W3CDTF">2016-06-22T04:40:00Z</dcterms:modified>
</cp:coreProperties>
</file>